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8E" w:rsidRDefault="002D058E">
      <w:pPr>
        <w:rPr>
          <w:sz w:val="52"/>
          <w:szCs w:val="52"/>
        </w:rPr>
      </w:pPr>
      <w:r>
        <w:rPr>
          <w:sz w:val="52"/>
          <w:szCs w:val="52"/>
        </w:rPr>
        <w:t>VIDES NOVĒRTĒJUMS 20.-21.</w:t>
      </w:r>
      <w:bookmarkStart w:id="0" w:name="_GoBack"/>
      <w:bookmarkEnd w:id="0"/>
    </w:p>
    <w:p w:rsidR="00D374A9" w:rsidRPr="00D374A9" w:rsidRDefault="00D374A9">
      <w:pPr>
        <w:rPr>
          <w:sz w:val="52"/>
          <w:szCs w:val="52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3F56891" wp14:editId="28B980C8">
            <wp:simplePos x="0" y="0"/>
            <wp:positionH relativeFrom="column">
              <wp:posOffset>217613</wp:posOffset>
            </wp:positionH>
            <wp:positionV relativeFrom="paragraph">
              <wp:posOffset>495270</wp:posOffset>
            </wp:positionV>
            <wp:extent cx="4466179" cy="3163840"/>
            <wp:effectExtent l="0" t="0" r="0" b="0"/>
            <wp:wrapThrough wrapText="bothSides">
              <wp:wrapPolygon edited="0">
                <wp:start x="0" y="0"/>
                <wp:lineTo x="0" y="21461"/>
                <wp:lineTo x="21468" y="21461"/>
                <wp:lineTo x="21468" y="0"/>
                <wp:lineTo x="0" y="0"/>
              </wp:wrapPolygon>
            </wp:wrapThrough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D374A9">
        <w:rPr>
          <w:sz w:val="52"/>
          <w:szCs w:val="52"/>
        </w:rPr>
        <w:t>ENERĢIJA</w:t>
      </w:r>
    </w:p>
    <w:p w:rsidR="00D374A9" w:rsidRDefault="00D374A9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CA5B22" w:rsidRDefault="00CA5B22"/>
    <w:p w:rsidR="00B96146" w:rsidRDefault="00D374A9">
      <w:pPr>
        <w:rPr>
          <w:sz w:val="52"/>
          <w:szCs w:val="52"/>
        </w:rPr>
      </w:pPr>
      <w:r w:rsidRPr="00CA5B22">
        <w:rPr>
          <w:noProof/>
          <w:sz w:val="52"/>
          <w:szCs w:val="52"/>
          <w:lang w:eastAsia="lv-LV"/>
        </w:rPr>
        <w:drawing>
          <wp:anchor distT="0" distB="0" distL="114300" distR="114300" simplePos="0" relativeHeight="251658240" behindDoc="1" locked="0" layoutInCell="1" allowOverlap="1" wp14:anchorId="09A3CAB6" wp14:editId="6BA450E0">
            <wp:simplePos x="0" y="0"/>
            <wp:positionH relativeFrom="column">
              <wp:posOffset>36062</wp:posOffset>
            </wp:positionH>
            <wp:positionV relativeFrom="paragraph">
              <wp:posOffset>764629</wp:posOffset>
            </wp:positionV>
            <wp:extent cx="4844415" cy="3798570"/>
            <wp:effectExtent l="0" t="0" r="0" b="0"/>
            <wp:wrapNone/>
            <wp:docPr id="3" name="Diagram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CA5B22" w:rsidRPr="00CA5B22">
        <w:rPr>
          <w:sz w:val="52"/>
          <w:szCs w:val="52"/>
        </w:rPr>
        <w:t xml:space="preserve">ATKRITUMI </w:t>
      </w: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6AC5AD1F" wp14:editId="3C8F6703">
            <wp:simplePos x="0" y="0"/>
            <wp:positionH relativeFrom="column">
              <wp:posOffset>552021</wp:posOffset>
            </wp:positionH>
            <wp:positionV relativeFrom="paragraph">
              <wp:posOffset>465241</wp:posOffset>
            </wp:positionV>
            <wp:extent cx="4844954" cy="3799200"/>
            <wp:effectExtent l="0" t="0" r="0" b="0"/>
            <wp:wrapThrough wrapText="bothSides">
              <wp:wrapPolygon edited="0">
                <wp:start x="0" y="0"/>
                <wp:lineTo x="0" y="21448"/>
                <wp:lineTo x="21490" y="21448"/>
                <wp:lineTo x="21490" y="0"/>
                <wp:lineTo x="0" y="0"/>
              </wp:wrapPolygon>
            </wp:wrapThrough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sz w:val="52"/>
          <w:szCs w:val="52"/>
        </w:rPr>
        <w:t>TRANSPORTS</w:t>
      </w: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932F4C" w:rsidRDefault="00B96146">
      <w:pPr>
        <w:rPr>
          <w:sz w:val="52"/>
          <w:szCs w:val="52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32C7F8B9" wp14:editId="3C9D97A4">
            <wp:simplePos x="0" y="0"/>
            <wp:positionH relativeFrom="column">
              <wp:posOffset>-38735</wp:posOffset>
            </wp:positionH>
            <wp:positionV relativeFrom="paragraph">
              <wp:posOffset>768985</wp:posOffset>
            </wp:positionV>
            <wp:extent cx="5052695" cy="3798570"/>
            <wp:effectExtent l="0" t="0" r="0" b="0"/>
            <wp:wrapThrough wrapText="bothSides">
              <wp:wrapPolygon edited="0">
                <wp:start x="0" y="0"/>
                <wp:lineTo x="0" y="21448"/>
                <wp:lineTo x="21500" y="21448"/>
                <wp:lineTo x="21500" y="0"/>
                <wp:lineTo x="0" y="0"/>
              </wp:wrapPolygon>
            </wp:wrapThrough>
            <wp:docPr id="4" name="Diagram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sz w:val="52"/>
          <w:szCs w:val="52"/>
        </w:rPr>
        <w:t>ŪDENS</w:t>
      </w:r>
    </w:p>
    <w:p w:rsidR="00D374A9" w:rsidRDefault="00932F4C">
      <w:pPr>
        <w:rPr>
          <w:sz w:val="52"/>
          <w:szCs w:val="52"/>
        </w:rPr>
      </w:pPr>
      <w:r w:rsidRPr="00932F4C">
        <w:rPr>
          <w:sz w:val="52"/>
          <w:szCs w:val="52"/>
        </w:rPr>
        <w:t xml:space="preserve"> </w:t>
      </w:r>
      <w:r>
        <w:rPr>
          <w:sz w:val="52"/>
          <w:szCs w:val="52"/>
        </w:rPr>
        <w:t>VESELĪBA</w:t>
      </w:r>
    </w:p>
    <w:p w:rsidR="00B96146" w:rsidRDefault="00932F4C">
      <w:pPr>
        <w:rPr>
          <w:sz w:val="52"/>
          <w:szCs w:val="52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3360" behindDoc="0" locked="0" layoutInCell="1" allowOverlap="1" wp14:anchorId="3AF12E1C" wp14:editId="5182B62C">
            <wp:simplePos x="0" y="0"/>
            <wp:positionH relativeFrom="column">
              <wp:posOffset>-196215</wp:posOffset>
            </wp:positionH>
            <wp:positionV relativeFrom="paragraph">
              <wp:posOffset>89067</wp:posOffset>
            </wp:positionV>
            <wp:extent cx="5052695" cy="3798570"/>
            <wp:effectExtent l="0" t="0" r="0" b="0"/>
            <wp:wrapThrough wrapText="bothSides">
              <wp:wrapPolygon edited="0">
                <wp:start x="0" y="0"/>
                <wp:lineTo x="0" y="21448"/>
                <wp:lineTo x="21500" y="21448"/>
                <wp:lineTo x="21500" y="0"/>
                <wp:lineTo x="0" y="0"/>
              </wp:wrapPolygon>
            </wp:wrapThrough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932F4C" w:rsidRDefault="00932F4C" w:rsidP="00932F4C">
      <w:pPr>
        <w:rPr>
          <w:sz w:val="52"/>
          <w:szCs w:val="52"/>
        </w:rPr>
      </w:pPr>
    </w:p>
    <w:p w:rsidR="00932F4C" w:rsidRDefault="00932F4C" w:rsidP="00932F4C">
      <w:pPr>
        <w:rPr>
          <w:sz w:val="52"/>
          <w:szCs w:val="52"/>
        </w:rPr>
      </w:pPr>
    </w:p>
    <w:p w:rsidR="00932F4C" w:rsidRDefault="00932F4C" w:rsidP="00932F4C">
      <w:pPr>
        <w:rPr>
          <w:sz w:val="52"/>
          <w:szCs w:val="52"/>
        </w:rPr>
      </w:pPr>
    </w:p>
    <w:p w:rsidR="00932F4C" w:rsidRDefault="00932F4C" w:rsidP="00932F4C">
      <w:pPr>
        <w:rPr>
          <w:sz w:val="52"/>
          <w:szCs w:val="52"/>
        </w:rPr>
      </w:pPr>
    </w:p>
    <w:p w:rsidR="00932F4C" w:rsidRDefault="00932F4C" w:rsidP="00932F4C">
      <w:pPr>
        <w:rPr>
          <w:sz w:val="52"/>
          <w:szCs w:val="52"/>
        </w:rPr>
      </w:pP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142C472C" wp14:editId="01B32D3E">
            <wp:simplePos x="0" y="0"/>
            <wp:positionH relativeFrom="column">
              <wp:posOffset>-400597</wp:posOffset>
            </wp:positionH>
            <wp:positionV relativeFrom="paragraph">
              <wp:posOffset>565947</wp:posOffset>
            </wp:positionV>
            <wp:extent cx="5008880" cy="4631690"/>
            <wp:effectExtent l="0" t="0" r="1270" b="0"/>
            <wp:wrapThrough wrapText="bothSides">
              <wp:wrapPolygon edited="0">
                <wp:start x="0" y="0"/>
                <wp:lineTo x="0" y="21499"/>
                <wp:lineTo x="21523" y="21499"/>
                <wp:lineTo x="21523" y="0"/>
                <wp:lineTo x="0" y="0"/>
              </wp:wrapPolygon>
            </wp:wrapThrough>
            <wp:docPr id="5" name="Diagram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sz w:val="52"/>
          <w:szCs w:val="52"/>
        </w:rPr>
        <w:t xml:space="preserve">SKOLAS VIDE </w:t>
      </w: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B96146" w:rsidRDefault="00B96146">
      <w:pPr>
        <w:rPr>
          <w:sz w:val="52"/>
          <w:szCs w:val="52"/>
        </w:rPr>
      </w:pPr>
    </w:p>
    <w:p w:rsidR="00932F4C" w:rsidRDefault="00932F4C">
      <w:pPr>
        <w:rPr>
          <w:sz w:val="52"/>
          <w:szCs w:val="52"/>
        </w:rPr>
      </w:pPr>
    </w:p>
    <w:p w:rsidR="00932F4C" w:rsidRDefault="00932F4C">
      <w:pPr>
        <w:rPr>
          <w:sz w:val="52"/>
          <w:szCs w:val="52"/>
        </w:rPr>
      </w:pPr>
      <w:r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 wp14:anchorId="0C758FC6" wp14:editId="1519539B">
            <wp:simplePos x="0" y="0"/>
            <wp:positionH relativeFrom="column">
              <wp:posOffset>5080</wp:posOffset>
            </wp:positionH>
            <wp:positionV relativeFrom="paragraph">
              <wp:posOffset>671653</wp:posOffset>
            </wp:positionV>
            <wp:extent cx="5084714" cy="3799200"/>
            <wp:effectExtent l="0" t="0" r="1905" b="0"/>
            <wp:wrapThrough wrapText="bothSides">
              <wp:wrapPolygon edited="0">
                <wp:start x="0" y="0"/>
                <wp:lineTo x="0" y="21448"/>
                <wp:lineTo x="21527" y="21448"/>
                <wp:lineTo x="21527" y="0"/>
                <wp:lineTo x="0" y="0"/>
              </wp:wrapPolygon>
            </wp:wrapThrough>
            <wp:docPr id="7" name="Diagram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B96146">
        <w:rPr>
          <w:sz w:val="52"/>
          <w:szCs w:val="52"/>
        </w:rPr>
        <w:t>LĪDZDALĪBA</w:t>
      </w:r>
    </w:p>
    <w:p w:rsidR="00932F4C" w:rsidRDefault="00932F4C">
      <w:pPr>
        <w:rPr>
          <w:sz w:val="52"/>
          <w:szCs w:val="52"/>
        </w:rPr>
      </w:pPr>
    </w:p>
    <w:p w:rsidR="00932F4C" w:rsidRDefault="00932F4C">
      <w:pPr>
        <w:rPr>
          <w:sz w:val="52"/>
          <w:szCs w:val="52"/>
        </w:rPr>
      </w:pPr>
      <w:r>
        <w:rPr>
          <w:sz w:val="52"/>
          <w:szCs w:val="52"/>
        </w:rPr>
        <w:t>PĀRTIKA</w:t>
      </w:r>
    </w:p>
    <w:p w:rsidR="00932F4C" w:rsidRDefault="00932F4C">
      <w:pPr>
        <w:rPr>
          <w:sz w:val="52"/>
          <w:szCs w:val="52"/>
        </w:rPr>
      </w:pPr>
      <w:r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 wp14:anchorId="3794BF63" wp14:editId="607F1C51">
            <wp:simplePos x="0" y="0"/>
            <wp:positionH relativeFrom="column">
              <wp:posOffset>68300</wp:posOffset>
            </wp:positionH>
            <wp:positionV relativeFrom="paragraph">
              <wp:posOffset>27320</wp:posOffset>
            </wp:positionV>
            <wp:extent cx="5084445" cy="3798570"/>
            <wp:effectExtent l="0" t="0" r="1905" b="0"/>
            <wp:wrapNone/>
            <wp:docPr id="8" name="Diagram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32F4C" w:rsidRDefault="00932F4C">
      <w:pPr>
        <w:rPr>
          <w:sz w:val="52"/>
          <w:szCs w:val="52"/>
        </w:rPr>
      </w:pPr>
    </w:p>
    <w:p w:rsidR="00C823F7" w:rsidRDefault="00C823F7"/>
    <w:sectPr w:rsidR="00C823F7" w:rsidSect="00B9614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A9"/>
    <w:rsid w:val="002D058E"/>
    <w:rsid w:val="00932F4C"/>
    <w:rsid w:val="00B96146"/>
    <w:rsid w:val="00C823F7"/>
    <w:rsid w:val="00CA5B22"/>
    <w:rsid w:val="00D3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4D797"/>
  <w15:chartTrackingRefBased/>
  <w15:docId w15:val="{8F947FE2-480A-4EDD-BA50-AF88BEE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tija\Desktop\Ekoskola\20.21m.g\vn-grafiki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537840952746801"/>
          <c:y val="4.40504070480651E-2"/>
          <c:w val="0.568344218209758"/>
          <c:h val="0.8633879781420770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Enerģija!$B$1:$B$19</c:f>
              <c:strCache>
                <c:ptCount val="19"/>
                <c:pt idx="0">
                  <c:v>Dienasgaismas izmantojums</c:v>
                </c:pt>
                <c:pt idx="1">
                  <c:v>Gaismu izslēgšana</c:v>
                </c:pt>
                <c:pt idx="2">
                  <c:v>Efektīvas spuldzes</c:v>
                </c:pt>
                <c:pt idx="3">
                  <c:v>Efektīva sadzīves tehnika</c:v>
                </c:pt>
                <c:pt idx="4">
                  <c:v>Atgādinājumi elektrības taupīšanai</c:v>
                </c:pt>
                <c:pt idx="5">
                  <c:v>Tīri logi</c:v>
                </c:pt>
                <c:pt idx="6">
                  <c:v>Datoru izslēgšana</c:v>
                </c:pt>
                <c:pt idx="7">
                  <c:v>Citu elektroierīču izslēgšana</c:v>
                </c:pt>
                <c:pt idx="8">
                  <c:v>Datoru lādētāju atvienošana</c:v>
                </c:pt>
                <c:pt idx="9">
                  <c:v>Projektoru izslēgšana</c:v>
                </c:pt>
                <c:pt idx="10">
                  <c:v>Regulējami radiatori</c:v>
                </c:pt>
                <c:pt idx="11">
                  <c:v>Neefektīva sildelementu izmantošana</c:v>
                </c:pt>
                <c:pt idx="12">
                  <c:v>Enerģijas taupīšana brīvdienās</c:v>
                </c:pt>
                <c:pt idx="13">
                  <c:v>Noblīvēti logi, durvis</c:v>
                </c:pt>
                <c:pt idx="14">
                  <c:v>Neefektīva vēdināšana</c:v>
                </c:pt>
                <c:pt idx="15">
                  <c:v>Efektīva ūdens sildīšana</c:v>
                </c:pt>
                <c:pt idx="16">
                  <c:v>Ūdens temepratūra</c:v>
                </c:pt>
                <c:pt idx="17">
                  <c:v>Ūdens temperatūras regulēšana</c:v>
                </c:pt>
                <c:pt idx="18">
                  <c:v>Ūdens siltuma regulēšana</c:v>
                </c:pt>
              </c:strCache>
            </c:strRef>
          </c:cat>
          <c:val>
            <c:numRef>
              <c:f>Enerģija!$C$1:$C$19</c:f>
              <c:numCache>
                <c:formatCode>General</c:formatCode>
                <c:ptCount val="19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3-4E9F-8465-79027C1DF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7104405"/>
        <c:axId val="90605532"/>
      </c:barChart>
      <c:catAx>
        <c:axId val="9710440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90605532"/>
        <c:crosses val="autoZero"/>
        <c:auto val="1"/>
        <c:lblAlgn val="ctr"/>
        <c:lblOffset val="100"/>
        <c:noMultiLvlLbl val="1"/>
      </c:catAx>
      <c:valAx>
        <c:axId val="90605532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97104405"/>
        <c:crossesAt val="1"/>
        <c:crossBetween val="midCat"/>
        <c:majorUnit val="1"/>
      </c:valAx>
      <c:spPr>
        <a:gradFill>
          <a:gsLst>
            <a:gs pos="0">
              <a:srgbClr val="FFFF00"/>
            </a:gs>
            <a:gs pos="100000">
              <a:srgbClr val="92D05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Atkritumi!$B$1:$B$21</c:f>
              <c:strCache>
                <c:ptCount val="21"/>
                <c:pt idx="0">
                  <c:v>Mazāks patēriņš</c:v>
                </c:pt>
                <c:pt idx="1">
                  <c:v>Gudrs patēriņš</c:v>
                </c:pt>
                <c:pt idx="2">
                  <c:v>Gudra izmantošana</c:v>
                </c:pt>
                <c:pt idx="3">
                  <c:v>Mantu maiņas iespējas</c:v>
                </c:pt>
                <c:pt idx="4">
                  <c:v>Papīra izmantošana</c:v>
                </c:pt>
                <c:pt idx="5">
                  <c:v>Videi kaitīgi trauki</c:v>
                </c:pt>
                <c:pt idx="6">
                  <c:v>Videi kaitīgas glāzītes</c:v>
                </c:pt>
                <c:pt idx="7">
                  <c:v>Videi kaitīgas glāzītes (ūdenim)</c:v>
                </c:pt>
                <c:pt idx="8">
                  <c:v>Videi draudzīgas pudeles</c:v>
                </c:pt>
                <c:pt idx="9">
                  <c:v>Plastmasas atkritumi (skolotāji)</c:v>
                </c:pt>
                <c:pt idx="10">
                  <c:v>Videi kaitīgas pudeles</c:v>
                </c:pt>
                <c:pt idx="11">
                  <c:v>Krāna ūdens pieejamība</c:v>
                </c:pt>
                <c:pt idx="12">
                  <c:v>Plastmasas atkritumi (pasākumos)</c:v>
                </c:pt>
                <c:pt idx="13">
                  <c:v>Papīra šķirošana</c:v>
                </c:pt>
                <c:pt idx="14">
                  <c:v>Plastmasas šķirošana</c:v>
                </c:pt>
                <c:pt idx="15">
                  <c:v>Šķirošanas informācija</c:v>
                </c:pt>
                <c:pt idx="16">
                  <c:v>Atkritumu samazināšanas info</c:v>
                </c:pt>
                <c:pt idx="17">
                  <c:v>Kompostēšana</c:v>
                </c:pt>
                <c:pt idx="18">
                  <c:v>Atkritumu piesārņojums</c:v>
                </c:pt>
                <c:pt idx="19">
                  <c:v>Piesārņojuma novēršana</c:v>
                </c:pt>
                <c:pt idx="20">
                  <c:v>...</c:v>
                </c:pt>
              </c:strCache>
            </c:strRef>
          </c:cat>
          <c:val>
            <c:numRef>
              <c:f>Atkritumi!$C$1:$C$21</c:f>
              <c:numCache>
                <c:formatCode>General</c:formatCode>
                <c:ptCount val="21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5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3</c:v>
                </c:pt>
                <c:pt idx="17">
                  <c:v>1</c:v>
                </c:pt>
                <c:pt idx="18">
                  <c:v>4</c:v>
                </c:pt>
                <c:pt idx="1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D-4F0D-A972-6C06CFEC0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697472"/>
        <c:axId val="84050649"/>
      </c:barChart>
      <c:catAx>
        <c:axId val="16697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84050649"/>
        <c:crosses val="autoZero"/>
        <c:auto val="1"/>
        <c:lblAlgn val="ctr"/>
        <c:lblOffset val="100"/>
        <c:noMultiLvlLbl val="1"/>
      </c:catAx>
      <c:valAx>
        <c:axId val="84050649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16697472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Transports!$B$1:$B$16</c:f>
              <c:strCache>
                <c:ptCount val="16"/>
                <c:pt idx="0">
                  <c:v>Drošība pie skolas</c:v>
                </c:pt>
                <c:pt idx="1">
                  <c:v>Kājāmgājēji un velosipēdisti</c:v>
                </c:pt>
                <c:pt idx="2">
                  <c:v>Automašīnu izmantošana (skolēni)</c:v>
                </c:pt>
                <c:pt idx="3">
                  <c:v>Automašīnu izmantošana (skolotāji)</c:v>
                </c:pt>
                <c:pt idx="4">
                  <c:v>Kopā braukšana</c:v>
                </c:pt>
                <c:pt idx="5">
                  <c:v>Velonovietnes</c:v>
                </c:pt>
                <c:pt idx="6">
                  <c:v>Velosipēdu drošība</c:v>
                </c:pt>
                <c:pt idx="7">
                  <c:v>Zaļās ekskursijas</c:v>
                </c:pt>
                <c:pt idx="8">
                  <c:v>Kopā braukšana (skolu braucienos)</c:v>
                </c:pt>
                <c:pt idx="9">
                  <c:v>Velobraucēju apliecības</c:v>
                </c:pt>
                <c:pt idx="10">
                  <c:v>Transporta piesārņojuma tuvums skolai</c:v>
                </c:pt>
                <c:pt idx="11">
                  <c:v>Transporta piesārņojums pie skolas</c:v>
                </c:pt>
                <c:pt idx="12">
                  <c:v>Pārtikas kilometri</c:v>
                </c:pt>
                <c:pt idx="13">
                  <c:v>Ilgtspējīgā transporta pasākumi</c:v>
                </c:pt>
                <c:pt idx="14">
                  <c:v>...</c:v>
                </c:pt>
                <c:pt idx="15">
                  <c:v>...</c:v>
                </c:pt>
              </c:strCache>
            </c:strRef>
          </c:cat>
          <c:val>
            <c:numRef>
              <c:f>Transports!$C$1:$C$16</c:f>
              <c:numCache>
                <c:formatCode>General</c:formatCode>
                <c:ptCount val="16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C-4201-A61C-687B7E97E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842637"/>
        <c:axId val="53998260"/>
      </c:barChart>
      <c:catAx>
        <c:axId val="4284263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53998260"/>
        <c:crosses val="autoZero"/>
        <c:auto val="1"/>
        <c:lblAlgn val="ctr"/>
        <c:lblOffset val="100"/>
        <c:noMultiLvlLbl val="1"/>
      </c:catAx>
      <c:valAx>
        <c:axId val="53998260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42842637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07093883646702"/>
          <c:y val="1.9877391788965301E-2"/>
          <c:w val="0.66085126603760802"/>
          <c:h val="0.899684190971577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Ūdens!$B$1:$B$15</c:f>
              <c:strCache>
                <c:ptCount val="15"/>
                <c:pt idx="0">
                  <c:v>Piloši krāni</c:v>
                </c:pt>
                <c:pt idx="1">
                  <c:v>Ūdens zudumi tualetēs</c:v>
                </c:pt>
                <c:pt idx="2">
                  <c:v>Efektīvi podi</c:v>
                </c:pt>
                <c:pt idx="3">
                  <c:v>Ūdens zudumi sistēmā</c:v>
                </c:pt>
                <c:pt idx="4">
                  <c:v>Ūdens taupīšanas santehnika</c:v>
                </c:pt>
                <c:pt idx="5">
                  <c:v>Ūdens izšķērdīgs lietojums</c:v>
                </c:pt>
                <c:pt idx="6">
                  <c:v>Taupīšanas atgādinājumi</c:v>
                </c:pt>
                <c:pt idx="7">
                  <c:v>Lietus ūdens</c:v>
                </c:pt>
                <c:pt idx="8">
                  <c:v>Notekūdeņu attīrīšanas izpratne</c:v>
                </c:pt>
                <c:pt idx="9">
                  <c:v>Notekūdeņu attīrīšana </c:v>
                </c:pt>
                <c:pt idx="10">
                  <c:v>Notekūdeņu izsekošana</c:v>
                </c:pt>
                <c:pt idx="11">
                  <c:v>Ūdens piesārņošana</c:v>
                </c:pt>
                <c:pt idx="12">
                  <c:v>Ūdeni saistošās virsmas</c:v>
                </c:pt>
                <c:pt idx="13">
                  <c:v>...</c:v>
                </c:pt>
                <c:pt idx="14">
                  <c:v>...</c:v>
                </c:pt>
              </c:strCache>
            </c:strRef>
          </c:cat>
          <c:val>
            <c:numRef>
              <c:f>Ūdens!$C$1:$C$15</c:f>
              <c:numCache>
                <c:formatCode>General</c:formatCode>
                <c:ptCount val="15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5</c:v>
                </c:pt>
                <c:pt idx="10">
                  <c:v>2</c:v>
                </c:pt>
                <c:pt idx="11">
                  <c:v>5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F-446B-8AEF-B29360FD4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9068037"/>
        <c:axId val="57048108"/>
      </c:barChart>
      <c:catAx>
        <c:axId val="6906803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57048108"/>
        <c:crosses val="autoZero"/>
        <c:auto val="1"/>
        <c:lblAlgn val="ctr"/>
        <c:lblOffset val="100"/>
        <c:noMultiLvlLbl val="1"/>
      </c:catAx>
      <c:valAx>
        <c:axId val="57048108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69068037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07093883646702"/>
          <c:y val="1.9877391788965301E-2"/>
          <c:w val="0.66085126603760802"/>
          <c:h val="0.899684190971577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Veselība!$B$1:$B$15</c:f>
              <c:strCache>
                <c:ptCount val="14"/>
                <c:pt idx="0">
                  <c:v>Vietējie augļi</c:v>
                </c:pt>
                <c:pt idx="1">
                  <c:v>Rūpnieciskie saldumi</c:v>
                </c:pt>
                <c:pt idx="2">
                  <c:v>Iespējas uzlabot ēdienu</c:v>
                </c:pt>
                <c:pt idx="3">
                  <c:v>Veikalu neveselīgā pārtika</c:v>
                </c:pt>
                <c:pt idx="4">
                  <c:v>Palmu eļļas produkti</c:v>
                </c:pt>
                <c:pt idx="5">
                  <c:v>Gatavošanas prasmes</c:v>
                </c:pt>
                <c:pt idx="6">
                  <c:v>Sadzīves ķīmija</c:v>
                </c:pt>
                <c:pt idx="7">
                  <c:v>Mēbeles un telpas</c:v>
                </c:pt>
                <c:pt idx="8">
                  <c:v>Klases vakari</c:v>
                </c:pt>
                <c:pt idx="9">
                  <c:v>Ziemassvētku dāvanas</c:v>
                </c:pt>
                <c:pt idx="10">
                  <c:v>Fiziskā aktivitāte ikdienā</c:v>
                </c:pt>
                <c:pt idx="11">
                  <c:v>Aktivitātes dabā</c:v>
                </c:pt>
                <c:pt idx="12">
                  <c:v>Gaisa piesārņojums</c:v>
                </c:pt>
                <c:pt idx="13">
                  <c:v>Trokšņa piesārņojums</c:v>
                </c:pt>
              </c:strCache>
            </c:strRef>
          </c:cat>
          <c:val>
            <c:numRef>
              <c:f>Veselība!$C$1:$C$15</c:f>
              <c:numCache>
                <c:formatCode>General</c:formatCode>
                <c:ptCount val="15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3</c:v>
                </c:pt>
                <c:pt idx="11">
                  <c:v>4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F-4A8C-AEBE-88E1B72E6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690061"/>
        <c:axId val="81248248"/>
      </c:barChart>
      <c:catAx>
        <c:axId val="4669006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81248248"/>
        <c:crosses val="autoZero"/>
        <c:auto val="1"/>
        <c:lblAlgn val="ctr"/>
        <c:lblOffset val="100"/>
        <c:noMultiLvlLbl val="1"/>
      </c:catAx>
      <c:valAx>
        <c:axId val="81248248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46690061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Skolasvide!$B$1:$B$25</c:f>
              <c:strCache>
                <c:ptCount val="25"/>
                <c:pt idx="0">
                  <c:v>Zaļās telpas</c:v>
                </c:pt>
                <c:pt idx="1">
                  <c:v>Cieņa pret augiem</c:v>
                </c:pt>
                <c:pt idx="2">
                  <c:v>Augu integrēšana mācībās</c:v>
                </c:pt>
                <c:pt idx="3">
                  <c:v>Pagalmu zaļums</c:v>
                </c:pt>
                <c:pt idx="4">
                  <c:v>Koku daudzums</c:v>
                </c:pt>
                <c:pt idx="5">
                  <c:v>Augu daudzveidība</c:v>
                </c:pt>
                <c:pt idx="6">
                  <c:v>Kukaiņu daudzveidība</c:v>
                </c:pt>
                <c:pt idx="7">
                  <c:v>Biodaudzveidības zonas</c:v>
                </c:pt>
                <c:pt idx="8">
                  <c:v>Dzīvotņu daudzveidība</c:v>
                </c:pt>
                <c:pt idx="9">
                  <c:v>Garšaugu audzēšana</c:v>
                </c:pt>
                <c:pt idx="10">
                  <c:v>Pesticīdu piesārņojuma radīšana</c:v>
                </c:pt>
                <c:pt idx="11">
                  <c:v>Izziņa ārpus telpām</c:v>
                </c:pt>
                <c:pt idx="12">
                  <c:v>Mācības ārpus telpām (iespējas)</c:v>
                </c:pt>
                <c:pt idx="13">
                  <c:v>Mācības ārpus telpām (izmantojums)</c:v>
                </c:pt>
                <c:pt idx="14">
                  <c:v>Zaļie pārgājieni</c:v>
                </c:pt>
                <c:pt idx="15">
                  <c:v>Dzīvotņu veidošana</c:v>
                </c:pt>
                <c:pt idx="16">
                  <c:v>Skolēnu iesaistīšana</c:v>
                </c:pt>
                <c:pt idx="17">
                  <c:v>Meža izmantojums</c:v>
                </c:pt>
                <c:pt idx="18">
                  <c:v>Papīra taupīšana</c:v>
                </c:pt>
                <c:pt idx="19">
                  <c:v>Papīra taupīšana 2</c:v>
                </c:pt>
                <c:pt idx="20">
                  <c:v>Tualetes papīra veids</c:v>
                </c:pt>
                <c:pt idx="21">
                  <c:v>Rakstāmpapīra veids</c:v>
                </c:pt>
                <c:pt idx="22">
                  <c:v>Sertificēti produkti</c:v>
                </c:pt>
                <c:pt idx="23">
                  <c:v>Dabas materiāli</c:v>
                </c:pt>
                <c:pt idx="24">
                  <c:v>...</c:v>
                </c:pt>
              </c:strCache>
            </c:strRef>
          </c:cat>
          <c:val>
            <c:numRef>
              <c:f>Skolasvide!$C$1:$C$25</c:f>
              <c:numCache>
                <c:formatCode>General</c:formatCode>
                <c:ptCount val="2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5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4</c:v>
                </c:pt>
                <c:pt idx="17">
                  <c:v>5</c:v>
                </c:pt>
                <c:pt idx="18">
                  <c:v>3</c:v>
                </c:pt>
                <c:pt idx="19">
                  <c:v>4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B-4633-B659-63C78E6B8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941919"/>
        <c:axId val="41837963"/>
      </c:barChart>
      <c:catAx>
        <c:axId val="594191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41837963"/>
        <c:crosses val="autoZero"/>
        <c:auto val="1"/>
        <c:lblAlgn val="ctr"/>
        <c:lblOffset val="100"/>
        <c:noMultiLvlLbl val="1"/>
      </c:catAx>
      <c:valAx>
        <c:axId val="41837963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5941919"/>
        <c:crossesAt val="1"/>
        <c:crossBetween val="midCat"/>
        <c:majorUnit val="1"/>
      </c:valAx>
      <c:spPr>
        <a:gradFill>
          <a:gsLst>
            <a:gs pos="0">
              <a:srgbClr val="FFFF00"/>
            </a:gs>
            <a:gs pos="100000">
              <a:srgbClr val="92D05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08131452864601"/>
          <c:y val="1.9877391788965301E-2"/>
          <c:w val="0.66084081247047699"/>
          <c:h val="0.899684190971577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Līdzdalība!$B$1:$B$16</c:f>
              <c:strCache>
                <c:ptCount val="15"/>
                <c:pt idx="0">
                  <c:v>Ekoskolu informācija</c:v>
                </c:pt>
                <c:pt idx="1">
                  <c:v>Ekoskolu programmas atpazīstamība</c:v>
                </c:pt>
                <c:pt idx="2">
                  <c:v>Skolēnu ieteikumi</c:v>
                </c:pt>
                <c:pt idx="3">
                  <c:v>Ekoskolu logo mājaslapā</c:v>
                </c:pt>
                <c:pt idx="4">
                  <c:v>Pasākumu foto</c:v>
                </c:pt>
                <c:pt idx="5">
                  <c:v>Apkārtējie iedzīvotāji</c:v>
                </c:pt>
                <c:pt idx="6">
                  <c:v>Informācija medijiem</c:v>
                </c:pt>
                <c:pt idx="7">
                  <c:v>Vecāku atbalsts</c:v>
                </c:pt>
                <c:pt idx="8">
                  <c:v>Vecāku iesaiste</c:v>
                </c:pt>
                <c:pt idx="9">
                  <c:v>Ekoskolu sadarbība</c:v>
                </c:pt>
                <c:pt idx="10">
                  <c:v>Mācību saturs</c:v>
                </c:pt>
                <c:pt idx="11">
                  <c:v>Vecumu aptveršana</c:v>
                </c:pt>
                <c:pt idx="12">
                  <c:v>Ārpusmācību pasākumi</c:v>
                </c:pt>
                <c:pt idx="13">
                  <c:v>Pašvaldības atbalsts</c:v>
                </c:pt>
                <c:pt idx="14">
                  <c:v>Apkārtnes uzlabošana</c:v>
                </c:pt>
              </c:strCache>
            </c:strRef>
          </c:cat>
          <c:val>
            <c:numRef>
              <c:f>Līdzdalība!$C$1:$C$16</c:f>
              <c:numCache>
                <c:formatCode>General</c:formatCode>
                <c:ptCount val="16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4-4CDA-9B4E-849071108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705952"/>
        <c:axId val="88627519"/>
      </c:barChart>
      <c:catAx>
        <c:axId val="870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88627519"/>
        <c:crosses val="autoZero"/>
        <c:auto val="1"/>
        <c:lblAlgn val="ctr"/>
        <c:lblOffset val="100"/>
        <c:noMultiLvlLbl val="1"/>
      </c:catAx>
      <c:valAx>
        <c:axId val="88627519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8705952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08131452864601"/>
          <c:y val="1.9877391788965301E-2"/>
          <c:w val="0.66084081247047699"/>
          <c:h val="0.899684190971577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Pārtika!$B$1:$B$18</c:f>
              <c:strCache>
                <c:ptCount val="18"/>
                <c:pt idx="0">
                  <c:v>Ekomarēķējumu pārzināšana</c:v>
                </c:pt>
                <c:pt idx="1">
                  <c:v>Bioloģiskie produkti</c:v>
                </c:pt>
                <c:pt idx="2">
                  <c:v>Ekopadomes līdzdalība iepirkumos</c:v>
                </c:pt>
                <c:pt idx="3">
                  <c:v>Pārtikas atkritumi</c:v>
                </c:pt>
                <c:pt idx="4">
                  <c:v>Efektīvas porcijas</c:v>
                </c:pt>
                <c:pt idx="5">
                  <c:v>Ēdiena efektīva izmantošana</c:v>
                </c:pt>
                <c:pt idx="6">
                  <c:v>Pārtikas atkritumu analīze</c:v>
                </c:pt>
                <c:pt idx="7">
                  <c:v>Ēdinātāju sadarbība</c:v>
                </c:pt>
                <c:pt idx="8">
                  <c:v>Veģetāru ēdienu iepazīšana</c:v>
                </c:pt>
                <c:pt idx="9">
                  <c:v>Pilnvērtīgi veģetāri ēdieni ikdienā</c:v>
                </c:pt>
                <c:pt idx="10">
                  <c:v>Ēdienkartes pielāgošana</c:v>
                </c:pt>
                <c:pt idx="11">
                  <c:v>Godīgā tirdzniecība uzkodās</c:v>
                </c:pt>
                <c:pt idx="12">
                  <c:v>Atbalsts vietējiem zemniekiem</c:v>
                </c:pt>
                <c:pt idx="13">
                  <c:v>Tēju un garšaugu audzēšana</c:v>
                </c:pt>
                <c:pt idx="14">
                  <c:v>Dārzeņu audzēšana</c:v>
                </c:pt>
                <c:pt idx="15">
                  <c:v>Ekoloģiskas gatavošanas prasmes</c:v>
                </c:pt>
                <c:pt idx="16">
                  <c:v>...</c:v>
                </c:pt>
                <c:pt idx="17">
                  <c:v>...</c:v>
                </c:pt>
              </c:strCache>
            </c:strRef>
          </c:cat>
          <c:val>
            <c:numRef>
              <c:f>Pārtika!$C$1:$C$18</c:f>
              <c:numCache>
                <c:formatCode>General</c:formatCode>
                <c:ptCount val="18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B6-4169-A796-185C8CAA8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317302"/>
        <c:axId val="33160841"/>
      </c:barChart>
      <c:catAx>
        <c:axId val="1831730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33160841"/>
        <c:crosses val="autoZero"/>
        <c:auto val="1"/>
        <c:lblAlgn val="ctr"/>
        <c:lblOffset val="100"/>
        <c:noMultiLvlLbl val="1"/>
      </c:catAx>
      <c:valAx>
        <c:axId val="33160841"/>
        <c:scaling>
          <c:orientation val="minMax"/>
          <c:max val="5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lv-LV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lv-LV"/>
          </a:p>
        </c:txPr>
        <c:crossAx val="18317302"/>
        <c:crossesAt val="1"/>
        <c:crossBetween val="midCat"/>
        <c:majorUnit val="1"/>
      </c:valAx>
      <c:spPr>
        <a:gradFill>
          <a:gsLst>
            <a:gs pos="0">
              <a:srgbClr val="CC0000"/>
            </a:gs>
            <a:gs pos="100000">
              <a:srgbClr val="FFFF00"/>
            </a:gs>
          </a:gsLst>
          <a:lin ang="0"/>
        </a:gradFill>
        <a:ln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Sintija</cp:lastModifiedBy>
  <cp:revision>2</cp:revision>
  <dcterms:created xsi:type="dcterms:W3CDTF">2021-06-04T07:38:00Z</dcterms:created>
  <dcterms:modified xsi:type="dcterms:W3CDTF">2021-06-04T07:38:00Z</dcterms:modified>
</cp:coreProperties>
</file>